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proofErr w:type="spellStart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</w:t>
      </w:r>
      <w:proofErr w:type="spellEnd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2D0BD4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sz w:val="26"/>
          <w:szCs w:val="26"/>
          <w:lang w:val="ro-RO"/>
        </w:rPr>
        <w:t xml:space="preserve">Hotărîrea Guvernului nr. 33 din 11.01.2007 cu privire la regulile de elaborare şi cerinţele unificate </w:t>
      </w:r>
      <w:r>
        <w:rPr>
          <w:rFonts w:ascii="Times New Roman" w:hAnsi="Times New Roman" w:cs="Times New Roman"/>
          <w:sz w:val="26"/>
          <w:szCs w:val="26"/>
          <w:lang w:val="ro-RO"/>
        </w:rPr>
        <w:t>faţă de documentele de politici.</w:t>
      </w:r>
      <w:bookmarkStart w:id="0" w:name="_GoBack"/>
      <w:bookmarkEnd w:id="0"/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9787C"/>
    <w:rsid w:val="009D67AE"/>
    <w:rsid w:val="00BA3335"/>
    <w:rsid w:val="00D04427"/>
    <w:rsid w:val="00D20FFD"/>
    <w:rsid w:val="00D37554"/>
    <w:rsid w:val="00F26AF6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2013-11-26T10:49:00Z</dcterms:created>
  <dcterms:modified xsi:type="dcterms:W3CDTF">2015-06-26T10:53:00Z</dcterms:modified>
</cp:coreProperties>
</file>